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E8" w:rsidRPr="00182BFA" w:rsidRDefault="00F807E8" w:rsidP="00F8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sl-SI"/>
        </w:rPr>
        <w:t>Otroci s posebnimi potrebami</w:t>
      </w:r>
    </w:p>
    <w:p w:rsidR="00F807E8" w:rsidRPr="00182BFA" w:rsidRDefault="00F807E8" w:rsidP="00F807E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Z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vsemi dejavnostmi, povezanimi z </w:t>
      </w:r>
      <w:r w:rsidRPr="00182BFA">
        <w:rPr>
          <w:rFonts w:eastAsia="Times New Roman" w:cs="Times New Roman"/>
          <w:b/>
          <w:sz w:val="24"/>
          <w:szCs w:val="24"/>
          <w:lang w:eastAsia="sl-SI"/>
        </w:rPr>
        <w:t>obravnavo otrok s posebnimi potrebami</w:t>
      </w:r>
      <w:r w:rsidRPr="00F807E8">
        <w:rPr>
          <w:rFonts w:eastAsia="Times New Roman" w:cs="Times New Roman"/>
          <w:sz w:val="24"/>
          <w:szCs w:val="24"/>
          <w:lang w:eastAsia="sl-SI"/>
        </w:rPr>
        <w:t>,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  <w:r w:rsidRPr="00F807E8">
        <w:rPr>
          <w:rFonts w:eastAsia="Times New Roman" w:cs="Times New Roman"/>
          <w:sz w:val="24"/>
          <w:szCs w:val="24"/>
          <w:lang w:eastAsia="sl-SI"/>
        </w:rPr>
        <w:t>bomo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nadaljevali, ko se bodo vrata našega vrtca ponovno odprla. </w:t>
      </w:r>
    </w:p>
    <w:p w:rsidR="00F807E8" w:rsidRPr="00E612F1" w:rsidRDefault="00F807E8" w:rsidP="00F807E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807E8" w:rsidRPr="00E612F1" w:rsidRDefault="00F807E8" w:rsidP="00F807E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E612F1">
        <w:rPr>
          <w:rFonts w:eastAsia="Times New Roman" w:cs="Times New Roman"/>
          <w:sz w:val="24"/>
          <w:szCs w:val="24"/>
          <w:lang w:eastAsia="sl-SI"/>
        </w:rPr>
        <w:t>Začasni ukrep Zavoda RS za šolstvo glede usmerjanja otrok s posebnimi potrebami:</w:t>
      </w:r>
    </w:p>
    <w:p w:rsidR="00F807E8" w:rsidRDefault="00F807E8" w:rsidP="00F807E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hyperlink r:id="rId5" w:history="1">
        <w:r w:rsidRPr="00182BFA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https://www.zrss.si/objava/zacasni-ukrepi-na-podrocju-vodenja-postopkov-uopp</w:t>
        </w:r>
      </w:hyperlink>
    </w:p>
    <w:p w:rsidR="00F807E8" w:rsidRPr="00E612F1" w:rsidRDefault="00F807E8" w:rsidP="00F807E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807E8" w:rsidRPr="00277A75" w:rsidRDefault="00F807E8" w:rsidP="00F807E8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277A75">
        <w:rPr>
          <w:rFonts w:eastAsia="Times New Roman" w:cs="Times New Roman"/>
          <w:b/>
          <w:sz w:val="24"/>
          <w:szCs w:val="24"/>
          <w:lang w:eastAsia="sl-SI"/>
        </w:rPr>
        <w:t>Zgodnja obravnava otrok s posebnimi potrebami</w:t>
      </w:r>
    </w:p>
    <w:p w:rsidR="00F807E8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C774C1">
        <w:rPr>
          <w:rFonts w:eastAsia="Times New Roman" w:cs="Times New Roman"/>
          <w:sz w:val="24"/>
          <w:szCs w:val="24"/>
          <w:lang w:eastAsia="sl-SI"/>
        </w:rPr>
        <w:t xml:space="preserve">Januarja 2019 se je začel izvajati ZAKON O CELOSTNI ZGODNJI OBRAVNAVI PREDŠOLSKIH OTROK S 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POSEBNIMI POTREBAMI, s katerim bi naj </w:t>
      </w:r>
      <w:r w:rsidRPr="00C774C1">
        <w:rPr>
          <w:rFonts w:eastAsia="Times New Roman" w:cs="Times New Roman"/>
          <w:sz w:val="24"/>
          <w:szCs w:val="24"/>
          <w:lang w:eastAsia="sl-SI"/>
        </w:rPr>
        <w:t>otroci prejeli pomoč prej, starši pa vse pot</w:t>
      </w:r>
      <w:r w:rsidRPr="00182BFA">
        <w:rPr>
          <w:rFonts w:eastAsia="Times New Roman" w:cs="Times New Roman"/>
          <w:sz w:val="24"/>
          <w:szCs w:val="24"/>
          <w:lang w:eastAsia="sl-SI"/>
        </w:rPr>
        <w:t>r</w:t>
      </w:r>
      <w:r>
        <w:rPr>
          <w:rFonts w:eastAsia="Times New Roman" w:cs="Times New Roman"/>
          <w:sz w:val="24"/>
          <w:szCs w:val="24"/>
          <w:lang w:eastAsia="sl-SI"/>
        </w:rPr>
        <w:t xml:space="preserve">ebne informacije na enem mestu. </w:t>
      </w:r>
    </w:p>
    <w:p w:rsidR="00F807E8" w:rsidRPr="00C774C1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sz w:val="24"/>
          <w:szCs w:val="24"/>
          <w:lang w:eastAsia="sl-SI"/>
        </w:rPr>
        <w:t xml:space="preserve">Povezava do zakona: </w:t>
      </w:r>
      <w:hyperlink r:id="rId6" w:history="1">
        <w:r w:rsidRPr="00182BFA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http://www.pisrs.si/Pis.web/pregledPredpisa?id=ZAKO7681</w:t>
        </w:r>
      </w:hyperlink>
      <w:r w:rsidRPr="00182BFA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F807E8" w:rsidRPr="00C774C1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</w:pPr>
      <w:r w:rsidRPr="00182BFA"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  <w:t>Novosti, ki jih zakon prinaša:</w:t>
      </w:r>
    </w:p>
    <w:p w:rsidR="00F807E8" w:rsidRPr="00182BFA" w:rsidRDefault="00F807E8" w:rsidP="00F807E8">
      <w:pPr>
        <w:pStyle w:val="Odstavekseznam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sz w:val="24"/>
          <w:szCs w:val="24"/>
          <w:lang w:eastAsia="sl-SI"/>
        </w:rPr>
        <w:t>razvojne ambulante po zdravstvenih domovih so se preoblikovale v centre za zgodnjo obravnavo, kjer otroka obravnavajo različni strokovnjaki in zanj predlagajo najustreznejše oblike pomoči;</w:t>
      </w:r>
    </w:p>
    <w:p w:rsidR="00F807E8" w:rsidRPr="00182BFA" w:rsidRDefault="00F807E8" w:rsidP="00F807E8">
      <w:pPr>
        <w:pStyle w:val="Odstavekseznam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sz w:val="24"/>
          <w:szCs w:val="24"/>
          <w:lang w:eastAsia="sl-SI"/>
        </w:rPr>
        <w:t>če otrok potrebuje pomoč</w:t>
      </w:r>
      <w:r>
        <w:rPr>
          <w:rFonts w:eastAsia="Times New Roman" w:cs="Times New Roman"/>
          <w:sz w:val="24"/>
          <w:szCs w:val="24"/>
          <w:lang w:eastAsia="sl-SI"/>
        </w:rPr>
        <w:t>,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morajo starši najprej do otrokovega izbranega </w:t>
      </w:r>
      <w:r w:rsidRPr="00182BFA">
        <w:rPr>
          <w:rFonts w:eastAsia="Times New Roman" w:cs="Times New Roman"/>
          <w:b/>
          <w:sz w:val="24"/>
          <w:szCs w:val="24"/>
          <w:lang w:eastAsia="sl-SI"/>
        </w:rPr>
        <w:t>zdravnika</w:t>
      </w:r>
      <w:r w:rsidRPr="00182BFA">
        <w:rPr>
          <w:rFonts w:eastAsia="Times New Roman" w:cs="Times New Roman"/>
          <w:sz w:val="24"/>
          <w:szCs w:val="24"/>
          <w:lang w:eastAsia="sl-SI"/>
        </w:rPr>
        <w:t>, ki jih napoti v center za zgodnjo obravnavo;</w:t>
      </w:r>
    </w:p>
    <w:p w:rsidR="00F807E8" w:rsidRPr="00182BFA" w:rsidRDefault="00F807E8" w:rsidP="00F807E8">
      <w:pPr>
        <w:pStyle w:val="Odstavekseznam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sz w:val="24"/>
          <w:szCs w:val="24"/>
          <w:lang w:eastAsia="sl-SI"/>
        </w:rPr>
        <w:t xml:space="preserve">v centru otroka pregleda zdravnik specialist pediater, ki lahko določi </w:t>
      </w:r>
      <w:r w:rsidRPr="00182BFA">
        <w:rPr>
          <w:rFonts w:eastAsia="Times New Roman" w:cs="Times New Roman"/>
          <w:b/>
          <w:sz w:val="24"/>
          <w:szCs w:val="24"/>
          <w:lang w:eastAsia="sl-SI"/>
        </w:rPr>
        <w:t>multidisciplinarni tim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z namenom diagnostike, ocene zmožnosti in potreb otroka, </w:t>
      </w:r>
      <w:r w:rsidRPr="00182BFA">
        <w:rPr>
          <w:rFonts w:eastAsia="Times New Roman" w:cs="Times New Roman"/>
          <w:b/>
          <w:sz w:val="24"/>
          <w:szCs w:val="24"/>
          <w:lang w:eastAsia="sl-SI"/>
        </w:rPr>
        <w:t>priprave individualnega načrta pomoči družini</w:t>
      </w:r>
      <w:r w:rsidRPr="00182BFA">
        <w:rPr>
          <w:rFonts w:eastAsia="Times New Roman" w:cs="Times New Roman"/>
          <w:sz w:val="24"/>
          <w:szCs w:val="24"/>
          <w:lang w:eastAsia="sl-SI"/>
        </w:rPr>
        <w:t>;</w:t>
      </w:r>
    </w:p>
    <w:p w:rsidR="00F807E8" w:rsidRPr="00182BFA" w:rsidRDefault="00F807E8" w:rsidP="00F807E8">
      <w:pPr>
        <w:pStyle w:val="Odstavekseznam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sz w:val="24"/>
          <w:szCs w:val="24"/>
          <w:lang w:eastAsia="sl-SI"/>
        </w:rPr>
        <w:t>multidisciplinarni tim pripravi načrt pomoči družini oziroma </w:t>
      </w:r>
      <w:r w:rsidRPr="00182BFA">
        <w:rPr>
          <w:rFonts w:eastAsia="Times New Roman" w:cs="Times New Roman"/>
          <w:b/>
          <w:bCs/>
          <w:sz w:val="24"/>
          <w:szCs w:val="24"/>
          <w:lang w:eastAsia="sl-SI"/>
        </w:rPr>
        <w:t>zapisnik, ki je podlaga za nudenje pomoči v vrtcu</w:t>
      </w:r>
      <w:r w:rsidRPr="00182BFA">
        <w:rPr>
          <w:rFonts w:eastAsia="Times New Roman" w:cs="Times New Roman"/>
          <w:bCs/>
          <w:sz w:val="24"/>
          <w:szCs w:val="24"/>
          <w:lang w:eastAsia="sl-SI"/>
        </w:rPr>
        <w:t xml:space="preserve">. Pomoč zajema </w:t>
      </w:r>
      <w:r w:rsidRPr="00182BFA">
        <w:rPr>
          <w:rFonts w:eastAsia="Times New Roman" w:cs="Times New Roman"/>
          <w:sz w:val="24"/>
          <w:szCs w:val="24"/>
          <w:lang w:eastAsia="sl-SI"/>
        </w:rPr>
        <w:t>prilagoditve prostora, pri</w:t>
      </w:r>
      <w:r>
        <w:rPr>
          <w:rFonts w:eastAsia="Times New Roman" w:cs="Times New Roman"/>
          <w:sz w:val="24"/>
          <w:szCs w:val="24"/>
          <w:lang w:eastAsia="sl-SI"/>
        </w:rPr>
        <w:t>pomočke, fizično pomoč –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pomoč stalnega ali začasnega spremljevalca, pomoč strokovnega delavca, na predlog tima se lahko zniža tudi normativ v skupini v vrtcu.</w:t>
      </w:r>
    </w:p>
    <w:p w:rsidR="00F807E8" w:rsidRPr="00182BFA" w:rsidRDefault="00F807E8" w:rsidP="00F807E8">
      <w:pPr>
        <w:pStyle w:val="Odstavekseznama"/>
        <w:spacing w:before="100" w:beforeAutospacing="1" w:after="100" w:afterAutospacing="1" w:line="276" w:lineRule="auto"/>
        <w:ind w:left="360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807E8" w:rsidRPr="00182BFA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</w:pPr>
      <w:r w:rsidRPr="00182BFA"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  <w:t>Otrok je v vrtcu lahko vključen v</w:t>
      </w:r>
      <w:r w:rsidRPr="00C774C1"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  <w:t>: </w:t>
      </w:r>
    </w:p>
    <w:p w:rsidR="00F807E8" w:rsidRDefault="00F807E8" w:rsidP="00F807E8">
      <w:pPr>
        <w:pStyle w:val="Odstavekseznam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bCs/>
          <w:sz w:val="24"/>
          <w:szCs w:val="24"/>
          <w:lang w:eastAsia="sl-SI"/>
        </w:rPr>
        <w:t xml:space="preserve">v predšolsko vzgojo po programu za predšolske otroke s </w:t>
      </w:r>
      <w:r w:rsidRPr="00182BFA">
        <w:rPr>
          <w:rFonts w:eastAsia="Times New Roman" w:cs="Times New Roman"/>
          <w:b/>
          <w:bCs/>
          <w:sz w:val="24"/>
          <w:szCs w:val="24"/>
          <w:lang w:eastAsia="sl-SI"/>
        </w:rPr>
        <w:t>prilagojenim izvajanjem in dodatno strokovno pomočjo</w:t>
      </w:r>
      <w:r w:rsidRPr="00182BFA">
        <w:rPr>
          <w:rFonts w:eastAsia="Times New Roman" w:cs="Times New Roman"/>
          <w:bCs/>
          <w:sz w:val="24"/>
          <w:szCs w:val="24"/>
          <w:lang w:eastAsia="sl-SI"/>
        </w:rPr>
        <w:t> </w:t>
      </w:r>
      <w:r w:rsidRPr="00182BFA">
        <w:rPr>
          <w:rFonts w:eastAsia="Times New Roman" w:cs="Times New Roman"/>
          <w:sz w:val="24"/>
          <w:szCs w:val="24"/>
          <w:lang w:eastAsia="sl-SI"/>
        </w:rPr>
        <w:t>(redni oddelki vrtcev);</w:t>
      </w:r>
    </w:p>
    <w:p w:rsidR="00F807E8" w:rsidRPr="00182BFA" w:rsidRDefault="00F807E8" w:rsidP="00F807E8">
      <w:pPr>
        <w:pStyle w:val="Odstavekseznama"/>
        <w:spacing w:before="100" w:beforeAutospacing="1" w:after="100" w:afterAutospacing="1" w:line="276" w:lineRule="auto"/>
        <w:ind w:left="360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807E8" w:rsidRDefault="00F807E8" w:rsidP="00F807E8">
      <w:pPr>
        <w:pStyle w:val="Odstavekseznam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82BFA">
        <w:rPr>
          <w:rFonts w:eastAsia="Times New Roman" w:cs="Times New Roman"/>
          <w:bCs/>
          <w:sz w:val="24"/>
          <w:szCs w:val="24"/>
          <w:lang w:eastAsia="sl-SI"/>
        </w:rPr>
        <w:t>v predšolsko vzgojo po</w:t>
      </w:r>
      <w:r w:rsidRPr="00182BFA">
        <w:rPr>
          <w:rFonts w:eastAsia="Times New Roman" w:cs="Times New Roman"/>
          <w:b/>
          <w:bCs/>
          <w:sz w:val="24"/>
          <w:szCs w:val="24"/>
          <w:lang w:eastAsia="sl-SI"/>
        </w:rPr>
        <w:t xml:space="preserve"> prilagojenih programih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(razvojni oddelki</w:t>
      </w:r>
      <w:r>
        <w:rPr>
          <w:rFonts w:eastAsia="Times New Roman" w:cs="Times New Roman"/>
          <w:sz w:val="24"/>
          <w:szCs w:val="24"/>
          <w:lang w:eastAsia="sl-SI"/>
        </w:rPr>
        <w:t>, do 6 otrok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). Staršem otrok, vključenih v prilagojen program, se lahko </w:t>
      </w:r>
      <w:r w:rsidRPr="00182BFA">
        <w:rPr>
          <w:rFonts w:eastAsia="Times New Roman" w:cs="Times New Roman"/>
          <w:b/>
          <w:sz w:val="24"/>
          <w:szCs w:val="24"/>
          <w:u w:val="single"/>
          <w:lang w:eastAsia="sl-SI"/>
        </w:rPr>
        <w:t>povrnejo stroški prevoza</w:t>
      </w:r>
      <w:r w:rsidRPr="00182BFA">
        <w:rPr>
          <w:rFonts w:eastAsia="Times New Roman" w:cs="Times New Roman"/>
          <w:sz w:val="24"/>
          <w:szCs w:val="24"/>
          <w:lang w:eastAsia="sl-SI"/>
        </w:rPr>
        <w:t xml:space="preserve"> iz kraja prebivališča do vrtca in nazaj. </w:t>
      </w:r>
    </w:p>
    <w:p w:rsidR="00F807E8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color w:val="538135" w:themeColor="accent6" w:themeShade="BF"/>
          <w:sz w:val="24"/>
          <w:szCs w:val="24"/>
          <w:lang w:eastAsia="sl-SI"/>
        </w:rPr>
      </w:pPr>
    </w:p>
    <w:p w:rsidR="00F807E8" w:rsidRPr="00CA6193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538135" w:themeColor="accent6" w:themeShade="BF"/>
          <w:sz w:val="24"/>
          <w:szCs w:val="24"/>
          <w:lang w:eastAsia="sl-SI"/>
        </w:rPr>
      </w:pPr>
      <w:r w:rsidRPr="00277A75">
        <w:rPr>
          <w:rFonts w:eastAsia="Times New Roman" w:cs="Times New Roman"/>
          <w:bCs/>
          <w:color w:val="538135" w:themeColor="accent6" w:themeShade="BF"/>
          <w:sz w:val="24"/>
          <w:szCs w:val="24"/>
          <w:lang w:eastAsia="sl-SI"/>
        </w:rPr>
        <w:lastRenderedPageBreak/>
        <w:t>Prednosti zgodnje obravnave:</w:t>
      </w:r>
    </w:p>
    <w:p w:rsidR="00F807E8" w:rsidRPr="00CA6193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CA6193">
        <w:rPr>
          <w:rFonts w:eastAsia="Times New Roman" w:cs="Times New Roman"/>
          <w:sz w:val="24"/>
          <w:szCs w:val="24"/>
          <w:lang w:eastAsia="sl-SI"/>
        </w:rPr>
        <w:t>Z ustreznim in pravočasnim pristopom se lahko težave oziroma razvojne primanjkljaje odpravi ali omili ali pa se (v primeru, da težave niso premagljive) otroka nauči, kako čim bolje živeti z njimi (da ne bodo ovirale drugih področij njegovega razvoja).</w:t>
      </w:r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CA6193">
        <w:rPr>
          <w:rFonts w:eastAsia="Times New Roman" w:cs="Times New Roman"/>
          <w:sz w:val="24"/>
          <w:szCs w:val="24"/>
          <w:lang w:eastAsia="sl-SI"/>
        </w:rPr>
        <w:t xml:space="preserve">Pomembno je, da </w:t>
      </w:r>
      <w:r>
        <w:rPr>
          <w:rFonts w:eastAsia="Times New Roman" w:cs="Times New Roman"/>
          <w:sz w:val="24"/>
          <w:szCs w:val="24"/>
          <w:lang w:eastAsia="sl-SI"/>
        </w:rPr>
        <w:t>se težave odpravijo čim prej, v času, ko</w:t>
      </w:r>
      <w:r w:rsidRPr="00CA6193">
        <w:rPr>
          <w:rFonts w:eastAsia="Times New Roman" w:cs="Times New Roman"/>
          <w:sz w:val="24"/>
          <w:szCs w:val="24"/>
          <w:lang w:eastAsia="sl-SI"/>
        </w:rPr>
        <w:t xml:space="preserve"> otroku</w:t>
      </w:r>
      <w:r>
        <w:rPr>
          <w:rFonts w:eastAsia="Times New Roman" w:cs="Times New Roman"/>
          <w:sz w:val="24"/>
          <w:szCs w:val="24"/>
          <w:lang w:eastAsia="sl-SI"/>
        </w:rPr>
        <w:t xml:space="preserve"> še ne povzročajo večjih stisk. Določeni napačni vzorci se s starostjo otroka utrdijo in jih je težje odpraviti. </w:t>
      </w:r>
      <w:r w:rsidRPr="00CA6193">
        <w:rPr>
          <w:rFonts w:eastAsia="Times New Roman" w:cs="Times New Roman"/>
          <w:sz w:val="24"/>
          <w:szCs w:val="24"/>
          <w:lang w:eastAsia="sl-SI"/>
        </w:rPr>
        <w:t>Otrokove razvojne težave na določenem področju (če niso ustrezno obravnavane) lahko oviraj</w:t>
      </w:r>
      <w:r>
        <w:rPr>
          <w:rFonts w:eastAsia="Times New Roman" w:cs="Times New Roman"/>
          <w:sz w:val="24"/>
          <w:szCs w:val="24"/>
          <w:lang w:eastAsia="sl-SI"/>
        </w:rPr>
        <w:t xml:space="preserve">o razvoj </w:t>
      </w:r>
      <w:r w:rsidRPr="00CA6193">
        <w:rPr>
          <w:rFonts w:eastAsia="Times New Roman" w:cs="Times New Roman"/>
          <w:sz w:val="24"/>
          <w:szCs w:val="24"/>
          <w:lang w:eastAsia="sl-SI"/>
        </w:rPr>
        <w:t>drugih področjih in lahko vplivajo na pojav dodatnih težav.</w:t>
      </w:r>
    </w:p>
    <w:p w:rsidR="00F807E8" w:rsidRPr="00AE7999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Veliko razvojnih težav v predšolskem obdobju z razvojem izzveni, kar pa ne velja zmeraj. Z</w:t>
      </w:r>
      <w:r w:rsidRPr="00CA6193">
        <w:rPr>
          <w:rFonts w:eastAsia="Times New Roman" w:cs="Times New Roman"/>
          <w:sz w:val="24"/>
          <w:szCs w:val="24"/>
          <w:lang w:eastAsia="sl-SI"/>
        </w:rPr>
        <w:t xml:space="preserve">ato je pomembno, da otroku priskrbimo ustrezno pomoč in zagotovimo </w:t>
      </w:r>
      <w:r>
        <w:rPr>
          <w:rFonts w:eastAsia="Times New Roman" w:cs="Times New Roman"/>
          <w:sz w:val="24"/>
          <w:szCs w:val="24"/>
          <w:lang w:eastAsia="sl-SI"/>
        </w:rPr>
        <w:t>prilagoditve, ki jih potrebuje.</w:t>
      </w:r>
    </w:p>
    <w:p w:rsidR="00F807E8" w:rsidRPr="00AE7999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385623" w:themeColor="accent6" w:themeShade="80"/>
          <w:sz w:val="24"/>
          <w:szCs w:val="24"/>
          <w:lang w:eastAsia="sl-SI"/>
        </w:rPr>
      </w:pPr>
      <w:r w:rsidRPr="00AE7999">
        <w:rPr>
          <w:rFonts w:eastAsia="Times New Roman" w:cs="Times New Roman"/>
          <w:bCs/>
          <w:color w:val="385623" w:themeColor="accent6" w:themeShade="80"/>
          <w:sz w:val="24"/>
          <w:szCs w:val="24"/>
          <w:lang w:eastAsia="sl-SI"/>
        </w:rPr>
        <w:t xml:space="preserve">Koliko časa se dodatna strokovna pomoč izvaja? </w:t>
      </w:r>
    </w:p>
    <w:p w:rsidR="00F807E8" w:rsidRPr="00277A75" w:rsidRDefault="00F807E8" w:rsidP="00F807E8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77A75">
        <w:rPr>
          <w:rFonts w:eastAsia="Times New Roman" w:cs="Times New Roman"/>
          <w:sz w:val="24"/>
          <w:szCs w:val="24"/>
          <w:lang w:eastAsia="sl-SI"/>
        </w:rPr>
        <w:t xml:space="preserve">Kadar otroci v vrtcu pridobijo ure dodatne strokovne pomoči, jim le-te pripadajo najdlje </w:t>
      </w:r>
      <w:r w:rsidRPr="00277A75">
        <w:rPr>
          <w:rFonts w:eastAsia="Times New Roman" w:cs="Times New Roman"/>
          <w:b/>
          <w:sz w:val="24"/>
          <w:szCs w:val="24"/>
          <w:lang w:eastAsia="sl-SI"/>
        </w:rPr>
        <w:t>do prehoda v osnovno šolo</w:t>
      </w:r>
      <w:r w:rsidRPr="00277A75">
        <w:rPr>
          <w:rFonts w:eastAsia="Times New Roman" w:cs="Times New Roman"/>
          <w:sz w:val="24"/>
          <w:szCs w:val="24"/>
          <w:lang w:eastAsia="sl-SI"/>
        </w:rPr>
        <w:t>. V kolikor se na podlagi napredka otroka izkaže, da pomoč ni več potrebna, se izvajanje lahko preneha tudi že prej ali pa se ustrezno zmanjša obseg ur.</w:t>
      </w:r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277A75">
        <w:rPr>
          <w:rFonts w:eastAsia="Times New Roman" w:cs="Times New Roman"/>
          <w:sz w:val="24"/>
          <w:szCs w:val="24"/>
          <w:lang w:eastAsia="sl-SI"/>
        </w:rPr>
        <w:t xml:space="preserve">Če se </w:t>
      </w:r>
      <w:r>
        <w:rPr>
          <w:rFonts w:eastAsia="Times New Roman" w:cs="Times New Roman"/>
          <w:sz w:val="24"/>
          <w:szCs w:val="24"/>
          <w:lang w:eastAsia="sl-SI"/>
        </w:rPr>
        <w:t>izkaže, da bo otrok tudi</w:t>
      </w:r>
      <w:r w:rsidRPr="00277A75">
        <w:rPr>
          <w:rFonts w:eastAsia="Times New Roman" w:cs="Times New Roman"/>
          <w:sz w:val="24"/>
          <w:szCs w:val="24"/>
          <w:lang w:eastAsia="sl-SI"/>
        </w:rPr>
        <w:t xml:space="preserve"> v šoli potreboval pomoč oziroma določene prilagoditve, je potrebno, da starši na Zavod RS za šolstvo oddate </w:t>
      </w:r>
      <w:r w:rsidRPr="00277A75">
        <w:rPr>
          <w:rFonts w:eastAsia="Times New Roman" w:cs="Times New Roman"/>
          <w:b/>
          <w:sz w:val="24"/>
          <w:szCs w:val="24"/>
          <w:lang w:eastAsia="sl-SI"/>
        </w:rPr>
        <w:t>zahtevo za usmerjanje</w:t>
      </w:r>
      <w:r w:rsidRPr="00277A75">
        <w:rPr>
          <w:rFonts w:eastAsia="Times New Roman" w:cs="Times New Roman"/>
          <w:sz w:val="24"/>
          <w:szCs w:val="24"/>
          <w:lang w:eastAsia="sl-SI"/>
        </w:rPr>
        <w:t xml:space="preserve"> (najkasneje 6 mesecev pred pričetkom obiskovanja šole) in o tem obvestite osnovno šolo. </w:t>
      </w:r>
    </w:p>
    <w:p w:rsidR="00F807E8" w:rsidRDefault="00F807E8" w:rsidP="00F807E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F807E8" w:rsidRDefault="00F807E8" w:rsidP="00F807E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7347E68" wp14:editId="63E23ADD">
            <wp:extent cx="1914792" cy="164805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roc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E8" w:rsidRDefault="00F807E8" w:rsidP="00F807E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F807E8" w:rsidRDefault="00F807E8" w:rsidP="00F807E8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sz w:val="24"/>
          <w:szCs w:val="24"/>
          <w:lang w:eastAsia="sl-SI"/>
        </w:rPr>
      </w:pPr>
      <w:r w:rsidRPr="003B5A15">
        <w:rPr>
          <w:rFonts w:eastAsia="Times New Roman" w:cs="Times New Roman"/>
          <w:b/>
          <w:bCs/>
          <w:sz w:val="24"/>
          <w:szCs w:val="24"/>
          <w:lang w:eastAsia="sl-SI"/>
        </w:rPr>
        <w:t>Koristne povezave:</w:t>
      </w:r>
    </w:p>
    <w:p w:rsidR="00F807E8" w:rsidRPr="003B5A15" w:rsidRDefault="00F807E8" w:rsidP="00F807E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 w:rsidRPr="003B5A15">
        <w:rPr>
          <w:rFonts w:eastAsia="Times New Roman" w:cs="Times New Roman"/>
          <w:sz w:val="24"/>
          <w:szCs w:val="24"/>
          <w:lang w:eastAsia="sl-SI"/>
        </w:rPr>
        <w:t>Ministrstvo za izobraževanje, znanost in šport (</w:t>
      </w:r>
      <w:hyperlink r:id="rId8" w:tgtFrame="_blank" w:history="1">
        <w:r w:rsidRPr="003B5A15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http://www.mizs.gov.si/</w:t>
        </w:r>
      </w:hyperlink>
      <w:r w:rsidRPr="003B5A15">
        <w:rPr>
          <w:rFonts w:eastAsia="Times New Roman" w:cs="Times New Roman"/>
          <w:sz w:val="24"/>
          <w:szCs w:val="24"/>
          <w:lang w:eastAsia="sl-SI"/>
        </w:rPr>
        <w:t xml:space="preserve"> )</w:t>
      </w:r>
    </w:p>
    <w:p w:rsidR="00F807E8" w:rsidRDefault="00F807E8" w:rsidP="00F807E8">
      <w:pPr>
        <w:pStyle w:val="Odstavekseznama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Zavod RS za šolstvo (</w:t>
      </w:r>
      <w:hyperlink r:id="rId9" w:history="1">
        <w:r w:rsidRPr="001610FC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https://www.zrss.si/o-nas/usmerjanje-otrok-s-pp</w:t>
        </w:r>
      </w:hyperlink>
      <w:r>
        <w:rPr>
          <w:rFonts w:eastAsia="Times New Roman" w:cs="Times New Roman"/>
          <w:sz w:val="24"/>
          <w:szCs w:val="24"/>
          <w:lang w:eastAsia="sl-SI"/>
        </w:rPr>
        <w:t xml:space="preserve"> )</w:t>
      </w:r>
    </w:p>
    <w:p w:rsidR="00F807E8" w:rsidRDefault="00F807E8" w:rsidP="00F807E8">
      <w:pPr>
        <w:pStyle w:val="Odstavekseznama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 w:rsidRPr="003B5A15">
        <w:rPr>
          <w:rFonts w:eastAsia="Times New Roman" w:cs="Times New Roman"/>
          <w:sz w:val="24"/>
          <w:szCs w:val="24"/>
          <w:lang w:eastAsia="sl-SI"/>
        </w:rPr>
        <w:t>Svetovalni center za otroke, mladostnike in starše Maribor (</w:t>
      </w:r>
      <w:hyperlink r:id="rId10" w:tgtFrame="_blank" w:history="1">
        <w:r w:rsidRPr="003B5A15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http://www.svet-center-mb.si/</w:t>
        </w:r>
      </w:hyperlink>
      <w:r w:rsidRPr="003B5A15">
        <w:rPr>
          <w:rFonts w:eastAsia="Times New Roman" w:cs="Times New Roman"/>
          <w:sz w:val="24"/>
          <w:szCs w:val="24"/>
          <w:lang w:eastAsia="sl-SI"/>
        </w:rPr>
        <w:t xml:space="preserve"> )</w:t>
      </w:r>
    </w:p>
    <w:p w:rsidR="00F807E8" w:rsidRDefault="00F807E8" w:rsidP="00F807E8">
      <w:pPr>
        <w:pStyle w:val="Odstavekseznama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 w:rsidRPr="003B5A15">
        <w:rPr>
          <w:rFonts w:eastAsia="Times New Roman" w:cs="Times New Roman"/>
          <w:sz w:val="24"/>
          <w:szCs w:val="24"/>
          <w:lang w:eastAsia="sl-SI"/>
        </w:rPr>
        <w:t>Center za socialno delo Maribor (</w:t>
      </w:r>
      <w:hyperlink r:id="rId11" w:tgtFrame="_blank" w:history="1">
        <w:r w:rsidRPr="003B5A15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http://csd-mb.si/</w:t>
        </w:r>
      </w:hyperlink>
      <w:r w:rsidRPr="003B5A15">
        <w:rPr>
          <w:rFonts w:eastAsia="Times New Roman" w:cs="Times New Roman"/>
          <w:sz w:val="24"/>
          <w:szCs w:val="24"/>
          <w:lang w:eastAsia="sl-SI"/>
        </w:rPr>
        <w:t xml:space="preserve"> )</w:t>
      </w:r>
      <w:r>
        <w:rPr>
          <w:rFonts w:eastAsia="Times New Roman" w:cs="Times New Roman"/>
          <w:sz w:val="24"/>
          <w:szCs w:val="24"/>
          <w:lang w:eastAsia="sl-SI"/>
        </w:rPr>
        <w:t>.</w:t>
      </w:r>
    </w:p>
    <w:p w:rsidR="00294252" w:rsidRPr="00F807E8" w:rsidRDefault="00F807E8" w:rsidP="00F807E8">
      <w:pPr>
        <w:spacing w:before="100" w:beforeAutospacing="1" w:after="100" w:afterAutospacing="1" w:line="276" w:lineRule="auto"/>
        <w:jc w:val="right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Prispevala: Tjaša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Mugerle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, univ. dipl. ped. </w:t>
      </w:r>
      <w:bookmarkStart w:id="0" w:name="_GoBack"/>
      <w:bookmarkEnd w:id="0"/>
    </w:p>
    <w:sectPr w:rsidR="00294252" w:rsidRPr="00F8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9E6"/>
    <w:multiLevelType w:val="hybridMultilevel"/>
    <w:tmpl w:val="98687DF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93BB8"/>
    <w:multiLevelType w:val="hybridMultilevel"/>
    <w:tmpl w:val="85267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4B52"/>
    <w:multiLevelType w:val="hybridMultilevel"/>
    <w:tmpl w:val="AC5E11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8"/>
    <w:rsid w:val="00535E99"/>
    <w:rsid w:val="00592A11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6DFA"/>
  <w15:chartTrackingRefBased/>
  <w15:docId w15:val="{D36203FB-606C-4AEE-B8B2-3A32C5F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07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07E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rs.si/Pis.web/pregledPredpisa?id=ZAKO7681" TargetMode="External"/><Relationship Id="rId11" Type="http://schemas.openxmlformats.org/officeDocument/2006/relationships/hyperlink" Target="http://csd-mb.si/" TargetMode="External"/><Relationship Id="rId5" Type="http://schemas.openxmlformats.org/officeDocument/2006/relationships/hyperlink" Target="https://www.zrss.si/objava/zacasni-ukrepi-na-podrocju-vodenja-postopkov-uopp" TargetMode="External"/><Relationship Id="rId10" Type="http://schemas.openxmlformats.org/officeDocument/2006/relationships/hyperlink" Target="http://www.svet-center-mb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rss.si/o-nas/usmerjanje-otrok-s-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2020-05-04T09:56:00Z</dcterms:created>
  <dcterms:modified xsi:type="dcterms:W3CDTF">2020-05-04T09:59:00Z</dcterms:modified>
</cp:coreProperties>
</file>